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58F85" w14:textId="19D4EE41" w:rsidR="00A96B86" w:rsidRDefault="00A96B86" w:rsidP="00A96B8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296242">
        <w:rPr>
          <w:rFonts w:ascii="Arial" w:hAnsi="Arial" w:cs="Arial"/>
          <w:b/>
          <w:bCs/>
        </w:rPr>
        <w:t>7773</w:t>
      </w:r>
    </w:p>
    <w:p w14:paraId="61BFDD8C" w14:textId="77777777" w:rsidR="00A96B86" w:rsidRPr="00210D4C" w:rsidRDefault="00A96B86" w:rsidP="00A96B86">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7777777" w:rsidR="00145E5A" w:rsidRDefault="00145E5A" w:rsidP="00311702">
      <w:pPr>
        <w:pStyle w:val="3GPPHeader"/>
      </w:pPr>
    </w:p>
    <w:p w14:paraId="5FB7E722" w14:textId="4999560C"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A96B86">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028C442A" w:rsidR="00531215" w:rsidRPr="00764EBC" w:rsidRDefault="003D3C45" w:rsidP="00311702">
      <w:pPr>
        <w:pStyle w:val="3GPPHeader"/>
      </w:pPr>
      <w:r w:rsidRPr="00764EBC">
        <w:t>Title:</w:t>
      </w:r>
      <w:r w:rsidR="00E90E49" w:rsidRPr="00764EBC">
        <w:tab/>
      </w:r>
      <w:r w:rsidR="000A52EE">
        <w:t xml:space="preserve">On </w:t>
      </w:r>
      <w:r w:rsidR="00495F3B">
        <w:t xml:space="preserve">Timing </w:t>
      </w:r>
      <w:r w:rsidR="00227C83">
        <w:t>Relationship</w:t>
      </w:r>
      <w:r w:rsidR="00A8781E">
        <w:t xml:space="preserve"> Enhancement</w:t>
      </w:r>
      <w:r w:rsidR="000A52EE">
        <w:t>s</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3CB4B51" w14:textId="77777777" w:rsidR="00A96B86" w:rsidRDefault="00815CE8" w:rsidP="00D719CB">
      <w:pPr>
        <w:jc w:val="both"/>
      </w:pPr>
      <w:r>
        <w:t xml:space="preserve">The study of NB-IoT/eMTC support for NTN was </w:t>
      </w:r>
      <w:r w:rsidR="00A96B86">
        <w:t>concluded</w:t>
      </w:r>
      <w:r>
        <w:t xml:space="preserve"> </w:t>
      </w:r>
      <w:r>
        <w:fldChar w:fldCharType="begin"/>
      </w:r>
      <w:r>
        <w:instrText xml:space="preserve"> REF _Ref46861923 \r \h </w:instrText>
      </w:r>
      <w:r>
        <w:fldChar w:fldCharType="separate"/>
      </w:r>
      <w:r w:rsidR="00F90895">
        <w:t>[1]</w:t>
      </w:r>
      <w:r>
        <w:fldChar w:fldCharType="end"/>
      </w:r>
      <w:r>
        <w:t xml:space="preserve">. </w:t>
      </w:r>
      <w:r w:rsidR="00A96B86">
        <w:t xml:space="preserve">Several topics were identified for further work in Release 17. This is summarized in the work item descriptions </w:t>
      </w:r>
      <w:r w:rsidR="00A96B86">
        <w:fldChar w:fldCharType="begin"/>
      </w:r>
      <w:r w:rsidR="00A96B86">
        <w:instrText xml:space="preserve"> REF _Ref78287450 \r \h </w:instrText>
      </w:r>
      <w:r w:rsidR="00A96B86">
        <w:fldChar w:fldCharType="separate"/>
      </w:r>
      <w:r w:rsidR="00A96B86">
        <w:t>[2]</w:t>
      </w:r>
      <w:r w:rsidR="00A96B86">
        <w:fldChar w:fldCharType="end"/>
      </w:r>
      <w:r w:rsidR="00A96B86">
        <w:t xml:space="preserve">. </w:t>
      </w:r>
    </w:p>
    <w:p w14:paraId="6C854797" w14:textId="77777777" w:rsidR="00A96B86" w:rsidRDefault="00A96B86" w:rsidP="00D719CB">
      <w:pPr>
        <w:jc w:val="both"/>
      </w:pPr>
    </w:p>
    <w:p w14:paraId="637FFC2A" w14:textId="66C691E2" w:rsidR="00A96B86" w:rsidRDefault="00815CE8" w:rsidP="00D719CB">
      <w:pPr>
        <w:jc w:val="both"/>
      </w:pPr>
      <w:r>
        <w:t xml:space="preserve">One </w:t>
      </w:r>
      <w:r w:rsidR="00A96B86">
        <w:t xml:space="preserve">RAN1 </w:t>
      </w:r>
      <w:r>
        <w:t xml:space="preserve">objective of this </w:t>
      </w:r>
      <w:r w:rsidR="00A96B86">
        <w:t>work</w:t>
      </w:r>
      <w:r>
        <w:t xml:space="preserve"> item is to </w:t>
      </w:r>
      <w:r w:rsidR="00A96B86">
        <w:t>specify the tim</w:t>
      </w:r>
      <w:r w:rsidR="002F609C">
        <w:t>ing relationship</w:t>
      </w:r>
      <w:r w:rsidR="00A96B86">
        <w:t xml:space="preserve"> enhancement</w:t>
      </w:r>
      <w:r w:rsidR="002F609C">
        <w:t>s, which include the timing relationships for NB-IoT/eMTC, UL scheduling for half duplex (HD) FDD, and signaling aspects in UE-specific TA maintenance and reporting</w:t>
      </w:r>
      <w:r w:rsidR="003A730A">
        <w:t xml:space="preserve">. </w:t>
      </w:r>
    </w:p>
    <w:p w14:paraId="27DDC513" w14:textId="77777777" w:rsidR="00BF2C61" w:rsidRPr="00E75532" w:rsidRDefault="00BF2C61" w:rsidP="00416D56">
      <w:pPr>
        <w:jc w:val="both"/>
        <w:rPr>
          <w:szCs w:val="20"/>
        </w:rPr>
      </w:pPr>
    </w:p>
    <w:p w14:paraId="05E5CF06" w14:textId="13117A13"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C0798" w:rsidRPr="003470D4">
        <w:rPr>
          <w:szCs w:val="20"/>
        </w:rPr>
        <w:t>the topics of</w:t>
      </w:r>
      <w:r w:rsidR="00145E5A">
        <w:rPr>
          <w:szCs w:val="20"/>
        </w:rPr>
        <w:t xml:space="preserve"> tim</w:t>
      </w:r>
      <w:r w:rsidR="004A78EE">
        <w:rPr>
          <w:szCs w:val="20"/>
        </w:rPr>
        <w:t>ing relationship, including</w:t>
      </w:r>
      <w:r w:rsidR="003A730A">
        <w:rPr>
          <w:szCs w:val="20"/>
        </w:rPr>
        <w:t xml:space="preserve"> </w:t>
      </w:r>
      <w:r w:rsidR="00652628">
        <w:rPr>
          <w:szCs w:val="20"/>
        </w:rPr>
        <w:t xml:space="preserve">the time offset acquisition in initial access and after initial access, timing relationship enhancement </w:t>
      </w:r>
      <w:r w:rsidR="00C9425C">
        <w:rPr>
          <w:szCs w:val="20"/>
        </w:rPr>
        <w:t>for</w:t>
      </w:r>
      <w:r w:rsidR="00A85EEA">
        <w:rPr>
          <w:szCs w:val="20"/>
        </w:rPr>
        <w:t xml:space="preserve"> eMTC and NB-IoT, and the scheme to facilitate the uplink scheduling for HD FDD</w:t>
      </w:r>
      <w:r w:rsidR="00C9425C">
        <w:rPr>
          <w:szCs w:val="20"/>
        </w:rPr>
        <w:t>.</w:t>
      </w:r>
    </w:p>
    <w:p w14:paraId="6A275592" w14:textId="4F582BD6" w:rsidR="00112194" w:rsidRPr="003A730A" w:rsidRDefault="00EA5A5B" w:rsidP="003A730A">
      <w:pPr>
        <w:pStyle w:val="Heading1"/>
      </w:pPr>
      <w:r>
        <w:t>Discussion</w:t>
      </w:r>
    </w:p>
    <w:p w14:paraId="4450D143" w14:textId="1AAF621A" w:rsidR="00C4677E" w:rsidRDefault="00431659" w:rsidP="008F05B6">
      <w:pPr>
        <w:jc w:val="both"/>
        <w:rPr>
          <w:bCs/>
          <w:iCs/>
        </w:rPr>
      </w:pPr>
      <w:r>
        <w:rPr>
          <w:bCs/>
          <w:iCs/>
        </w:rPr>
        <w:t xml:space="preserve">It was agreed </w:t>
      </w:r>
      <w:r w:rsidR="008C5CEA">
        <w:rPr>
          <w:bCs/>
          <w:iCs/>
        </w:rPr>
        <w:fldChar w:fldCharType="begin"/>
      </w:r>
      <w:r w:rsidR="008C5CEA">
        <w:rPr>
          <w:bCs/>
          <w:iCs/>
        </w:rPr>
        <w:instrText xml:space="preserve"> REF _Ref78022874 \r \h </w:instrText>
      </w:r>
      <w:r w:rsidR="008C5CEA">
        <w:rPr>
          <w:bCs/>
          <w:iCs/>
        </w:rPr>
      </w:r>
      <w:r w:rsidR="008C5CEA">
        <w:rPr>
          <w:bCs/>
          <w:iCs/>
        </w:rPr>
        <w:fldChar w:fldCharType="separate"/>
      </w:r>
      <w:r w:rsidR="008C5CEA">
        <w:rPr>
          <w:bCs/>
          <w:iCs/>
        </w:rPr>
        <w:t>[3]</w:t>
      </w:r>
      <w:r w:rsidR="008C5CEA">
        <w:rPr>
          <w:bCs/>
          <w:iCs/>
        </w:rPr>
        <w:fldChar w:fldCharType="end"/>
      </w:r>
      <w:r>
        <w:rPr>
          <w:bCs/>
          <w:iCs/>
        </w:rPr>
        <w:t xml:space="preserve"> that the timing relationship enhancement based on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as in NR NTN, should be the starting point for the timing relationship enhancement in IoT NTN. To facilitate the timing relationship enhancement in initial access (e.g., transmission timing of RAR grant scheduled PUSCH),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carried in system information in NR NTN. Similarly, a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can be carried in system information in IoT NTN. This cell specific </w:t>
      </w:r>
      <m:oMath>
        <m:sSub>
          <m:sSubPr>
            <m:ctrlPr>
              <w:rPr>
                <w:rFonts w:ascii="Cambria Math" w:hAnsi="Cambria Math"/>
                <w:bCs/>
                <w:i/>
                <w:iCs/>
              </w:rPr>
            </m:ctrlPr>
          </m:sSubPr>
          <m:e>
            <m:r>
              <w:rPr>
                <w:rFonts w:ascii="Cambria Math" w:hAnsi="Cambria Math"/>
              </w:rPr>
              <m:t>K</m:t>
            </m:r>
          </m:e>
          <m:sub>
            <m:r>
              <w:rPr>
                <w:rFonts w:ascii="Cambria Math" w:hAnsi="Cambria Math"/>
              </w:rPr>
              <m:t>offset</m:t>
            </m:r>
          </m:sub>
        </m:sSub>
      </m:oMath>
      <w:r>
        <w:rPr>
          <w:bCs/>
          <w:iCs/>
        </w:rPr>
        <w:t xml:space="preserve"> is used to enhance the timing relationship in initial access, as well as after initial access</w:t>
      </w:r>
      <w:r w:rsidR="00B955C9">
        <w:rPr>
          <w:bCs/>
          <w:iCs/>
        </w:rPr>
        <w:t xml:space="preserve">. </w:t>
      </w:r>
    </w:p>
    <w:p w14:paraId="15CF79F2" w14:textId="77777777" w:rsidR="00C4677E" w:rsidRPr="00C4677E" w:rsidRDefault="00C4677E" w:rsidP="008F05B6">
      <w:pPr>
        <w:jc w:val="both"/>
        <w:rPr>
          <w:bCs/>
          <w:iCs/>
        </w:rPr>
      </w:pPr>
    </w:p>
    <w:p w14:paraId="034AAC7C" w14:textId="7DF34256" w:rsidR="00A61390" w:rsidRDefault="00A61390" w:rsidP="008F05B6">
      <w:pPr>
        <w:jc w:val="both"/>
        <w:rPr>
          <w:i/>
        </w:rPr>
      </w:pPr>
      <w:r w:rsidRPr="00756873">
        <w:rPr>
          <w:b/>
          <w:i/>
          <w:u w:val="single"/>
        </w:rPr>
        <w:t xml:space="preserve">Proposal </w:t>
      </w:r>
      <w:r w:rsidR="003A730A">
        <w:rPr>
          <w:b/>
          <w:i/>
          <w:u w:val="single"/>
        </w:rPr>
        <w:t>1</w:t>
      </w:r>
      <w:r w:rsidRPr="00756873">
        <w:rPr>
          <w:b/>
          <w:i/>
          <w:u w:val="single"/>
        </w:rPr>
        <w:t>:</w:t>
      </w:r>
      <w:r w:rsidRPr="00756873">
        <w:rPr>
          <w:i/>
        </w:rPr>
        <w:t xml:space="preserve"> </w:t>
      </w:r>
      <w:r w:rsidR="00B33081">
        <w:rPr>
          <w:i/>
        </w:rPr>
        <w:t>A c</w:t>
      </w:r>
      <w:r>
        <w:rPr>
          <w:i/>
        </w:rPr>
        <w:t xml:space="preserve">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broadcasted </w:t>
      </w:r>
      <w:r w:rsidR="00CC2800">
        <w:rPr>
          <w:i/>
        </w:rPr>
        <w:t>in</w:t>
      </w:r>
      <w:r>
        <w:rPr>
          <w:i/>
        </w:rPr>
        <w:t xml:space="preserve"> system information. </w:t>
      </w:r>
    </w:p>
    <w:p w14:paraId="1F662C85" w14:textId="06B8D5B9" w:rsidR="00A61390" w:rsidRDefault="00A61390" w:rsidP="008F05B6">
      <w:pPr>
        <w:jc w:val="both"/>
        <w:rPr>
          <w:bCs/>
          <w:iCs/>
        </w:rPr>
      </w:pPr>
    </w:p>
    <w:p w14:paraId="438A509C" w14:textId="10B00760" w:rsidR="00B955C9" w:rsidRDefault="00B955C9" w:rsidP="00B955C9">
      <w:pPr>
        <w:jc w:val="both"/>
      </w:pPr>
      <w:r>
        <w:t xml:space="preserve">Due to large cell size, the propagation delay of UEs in an NTN cell can have large variation. The cell specific time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used in initial access may not be accurate for each individual UE. </w:t>
      </w:r>
      <w:r>
        <w:rPr>
          <w:bCs/>
          <w:iCs/>
        </w:rPr>
        <w:t xml:space="preserve">In NR NTN,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is supported. This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could be based on UE specific TA, which increases the scheduling efficiency. For network to calculate a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UE may need to frequently report its TA or related information to network due to satellite and UE movement. This involves additional signaling from UE to network.</w:t>
      </w:r>
    </w:p>
    <w:p w14:paraId="2C433A54" w14:textId="77777777" w:rsidR="00B955C9" w:rsidRDefault="00B955C9" w:rsidP="00B955C9">
      <w:pPr>
        <w:jc w:val="both"/>
      </w:pPr>
    </w:p>
    <w:p w14:paraId="618FF61C" w14:textId="1AA7D3D5" w:rsidR="00C727B4" w:rsidRDefault="00B955C9" w:rsidP="00B955C9">
      <w:pPr>
        <w:jc w:val="both"/>
      </w:pPr>
      <w:r>
        <w:t xml:space="preserve">In IoT over NTN, the motivation of using an 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w:t>
      </w:r>
      <w:r w:rsidR="00C727B4">
        <w:t xml:space="preserve"> initial access is not strong. If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727B4">
        <w:t xml:space="preserve"> is used after initial access, the scheduling</w:t>
      </w:r>
      <w:r w:rsidR="00B33081">
        <w:t xml:space="preserve"> </w:t>
      </w:r>
      <w:r w:rsidR="00276F72">
        <w:t>may be</w:t>
      </w:r>
      <w:r w:rsidR="00C727B4">
        <w:t xml:space="preserve"> inefficiency</w:t>
      </w:r>
      <w:r w:rsidR="00B33081">
        <w:t xml:space="preserve"> for some UEs</w:t>
      </w:r>
      <w:r w:rsidR="00C727B4">
        <w:t>, which increase</w:t>
      </w:r>
      <w:r w:rsidR="00B33081">
        <w:t>s</w:t>
      </w:r>
      <w:r w:rsidR="00C727B4">
        <w:t xml:space="preserve"> latency</w:t>
      </w:r>
      <w:r w:rsidR="00276F72">
        <w:t xml:space="preserve"> for these UEs</w:t>
      </w:r>
      <w:r w:rsidR="00C727B4">
        <w:t xml:space="preserve">. However, </w:t>
      </w:r>
      <w:r w:rsidR="00B33081">
        <w:t xml:space="preserve">the latency requirements for IoT service are quite relaxed. </w:t>
      </w:r>
      <w:r w:rsidR="00C727B4">
        <w:t>For example, the latency requirement is up to 15 ms for eMTC devices and up to 10 seconds for NB-IoT devices.</w:t>
      </w:r>
      <w:r w:rsidR="00B33081">
        <w:t xml:space="preserve"> Hence,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B33081">
        <w:t xml:space="preserve"> after initial access does not seem to be necessary. </w:t>
      </w:r>
    </w:p>
    <w:p w14:paraId="36F1E575" w14:textId="77777777" w:rsidR="003A730A" w:rsidRDefault="003A730A" w:rsidP="00B955C9">
      <w:pPr>
        <w:jc w:val="both"/>
      </w:pPr>
    </w:p>
    <w:p w14:paraId="356DB344" w14:textId="64CA8DEA" w:rsidR="003A730A" w:rsidRDefault="00B33081" w:rsidP="00B955C9">
      <w:pPr>
        <w:jc w:val="both"/>
      </w:pPr>
      <w:r>
        <w:lastRenderedPageBreak/>
        <w:t xml:space="preserve">On the other hand, </w:t>
      </w:r>
      <w:r w:rsidR="00B955C9">
        <w:rPr>
          <w:lang w:eastAsia="x-none"/>
        </w:rPr>
        <w:t xml:space="preserve">the </w:t>
      </w:r>
      <w:r>
        <w:rPr>
          <w:lang w:eastAsia="x-none"/>
        </w:rPr>
        <w:t xml:space="preserve">updated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after initial access is closely related to UE specific TA. Note that the </w:t>
      </w:r>
      <w:r w:rsidR="00B955C9">
        <w:rPr>
          <w:lang w:eastAsia="x-none"/>
        </w:rPr>
        <w:t>UE</w:t>
      </w:r>
      <w:r>
        <w:rPr>
          <w:lang w:eastAsia="x-none"/>
        </w:rPr>
        <w:t xml:space="preserve"> </w:t>
      </w:r>
      <w:r w:rsidR="00B955C9">
        <w:rPr>
          <w:lang w:eastAsia="x-none"/>
        </w:rPr>
        <w:t>specific TA reporting to eNB m</w:t>
      </w:r>
      <w:r>
        <w:rPr>
          <w:lang w:eastAsia="x-none"/>
        </w:rPr>
        <w:t>ay be needed</w:t>
      </w:r>
      <w:r w:rsidR="00B955C9">
        <w:rPr>
          <w:lang w:eastAsia="x-none"/>
        </w:rPr>
        <w:t xml:space="preserve"> for eNB’s scheduling to avoid UL-DL collisions in </w:t>
      </w:r>
      <w:r w:rsidR="008C5CEA">
        <w:rPr>
          <w:lang w:eastAsia="x-none"/>
        </w:rPr>
        <w:t xml:space="preserve">HD </w:t>
      </w:r>
      <w:r w:rsidR="00B955C9">
        <w:rPr>
          <w:lang w:eastAsia="x-none"/>
        </w:rPr>
        <w:t>FDD.</w:t>
      </w:r>
      <w:r>
        <w:rPr>
          <w:lang w:eastAsia="x-none"/>
        </w:rPr>
        <w:t xml:space="preserve"> Hence, the main additional effort to support the update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 is </w:t>
      </w:r>
      <w:r w:rsidR="00276F72">
        <w:t xml:space="preserve">eNB’s </w:t>
      </w:r>
      <w:r>
        <w:t xml:space="preserve">signaling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588772B9" w14:textId="77777777" w:rsidR="003A730A" w:rsidRDefault="003A730A" w:rsidP="00B955C9">
      <w:pPr>
        <w:jc w:val="both"/>
      </w:pPr>
    </w:p>
    <w:p w14:paraId="5F74785C" w14:textId="638AFDC5" w:rsidR="00B33081" w:rsidRDefault="00B33081" w:rsidP="00B955C9">
      <w:pPr>
        <w:jc w:val="both"/>
      </w:pPr>
      <w:r>
        <w:t>Overall,</w:t>
      </w:r>
      <w:r w:rsidR="00276F72">
        <w:t xml:space="preserve"> </w:t>
      </w:r>
      <w:r w:rsidR="003A730A">
        <w:t xml:space="preserve">we think </w:t>
      </w:r>
      <w:r>
        <w:t>updat</w:t>
      </w:r>
      <w:r w:rsidR="003A730A">
        <w:t>ing</w:t>
      </w:r>
      <w: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after initial access</w:t>
      </w:r>
      <w:r w:rsidR="003A730A">
        <w:rPr>
          <w:lang w:eastAsia="x-none"/>
        </w:rPr>
        <w:t xml:space="preserve"> in IoT NTN </w:t>
      </w:r>
      <w:r w:rsidR="00FE247B">
        <w:rPr>
          <w:lang w:eastAsia="x-none"/>
        </w:rPr>
        <w:t>does</w:t>
      </w:r>
      <w:r w:rsidR="003A730A">
        <w:rPr>
          <w:lang w:eastAsia="x-none"/>
        </w:rPr>
        <w:t xml:space="preserve"> not</w:t>
      </w:r>
      <w:r w:rsidR="00FE247B">
        <w:rPr>
          <w:lang w:eastAsia="x-none"/>
        </w:rPr>
        <w:t xml:space="preserve"> need to be</w:t>
      </w:r>
      <w:r w:rsidR="003A730A">
        <w:rPr>
          <w:lang w:eastAsia="x-none"/>
        </w:rPr>
        <w:t xml:space="preserve"> supported. </w:t>
      </w:r>
      <w:r>
        <w:rPr>
          <w:lang w:eastAsia="x-none"/>
        </w:rPr>
        <w:t xml:space="preserve"> </w:t>
      </w:r>
    </w:p>
    <w:p w14:paraId="68F99907" w14:textId="4A709BC0" w:rsidR="00B955C9" w:rsidRDefault="00B955C9" w:rsidP="008F05B6">
      <w:pPr>
        <w:jc w:val="both"/>
      </w:pPr>
    </w:p>
    <w:p w14:paraId="032DBFAC" w14:textId="7160FC24" w:rsidR="003A730A" w:rsidRDefault="00B33081" w:rsidP="00B33081">
      <w:pPr>
        <w:jc w:val="both"/>
        <w:rPr>
          <w:i/>
        </w:rPr>
      </w:pPr>
      <w:r w:rsidRPr="00756873">
        <w:rPr>
          <w:b/>
          <w:i/>
          <w:u w:val="single"/>
        </w:rPr>
        <w:t xml:space="preserve">Proposal </w:t>
      </w:r>
      <w:r w:rsidR="003A730A">
        <w:rPr>
          <w:b/>
          <w:i/>
          <w:u w:val="single"/>
        </w:rPr>
        <w:t>2</w:t>
      </w:r>
      <w:r w:rsidRPr="00756873">
        <w:rPr>
          <w:b/>
          <w:i/>
          <w:u w:val="single"/>
        </w:rPr>
        <w:t>:</w:t>
      </w:r>
      <w:r w:rsidRPr="00756873">
        <w:rPr>
          <w:i/>
        </w:rPr>
        <w:t xml:space="preserve"> </w:t>
      </w:r>
      <w:r w:rsidR="003A730A" w:rsidRPr="003A730A">
        <w:rPr>
          <w:i/>
        </w:rPr>
        <w:t xml:space="preserve">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3A730A" w:rsidRPr="003A730A">
        <w:rPr>
          <w:i/>
        </w:rPr>
        <w:t xml:space="preserve"> after initial access in IoT NTN is not supported</w:t>
      </w:r>
      <w:r w:rsidR="003A730A">
        <w:rPr>
          <w:i/>
        </w:rPr>
        <w:t>.</w:t>
      </w:r>
    </w:p>
    <w:p w14:paraId="43E98B3F" w14:textId="00F74826" w:rsidR="003A730A" w:rsidRDefault="003A730A" w:rsidP="008F05B6">
      <w:pPr>
        <w:jc w:val="both"/>
        <w:rPr>
          <w:bCs/>
          <w:iCs/>
        </w:rPr>
      </w:pPr>
    </w:p>
    <w:p w14:paraId="6AAF4674" w14:textId="41C894BF" w:rsidR="00557BFB" w:rsidRDefault="00557BFB" w:rsidP="008F05B6">
      <w:pPr>
        <w:jc w:val="both"/>
        <w:rPr>
          <w:bCs/>
          <w:iCs/>
        </w:rPr>
      </w:pPr>
      <w:r>
        <w:rPr>
          <w:bCs/>
          <w:iCs/>
        </w:rPr>
        <w:t xml:space="preserve">In the IoT NTN study item phase, a list of aspects related to timing relationship enhancements for eMTC was identified (e.g., Section 6 of </w:t>
      </w:r>
      <w:r>
        <w:rPr>
          <w:bCs/>
          <w:iCs/>
        </w:rPr>
        <w:fldChar w:fldCharType="begin"/>
      </w:r>
      <w:r>
        <w:rPr>
          <w:bCs/>
          <w:iCs/>
        </w:rPr>
        <w:instrText xml:space="preserve"> REF _Ref78382245 \r \h </w:instrText>
      </w:r>
      <w:r>
        <w:rPr>
          <w:bCs/>
          <w:iCs/>
        </w:rPr>
      </w:r>
      <w:r>
        <w:rPr>
          <w:bCs/>
          <w:iCs/>
        </w:rPr>
        <w:fldChar w:fldCharType="separate"/>
      </w:r>
      <w:r>
        <w:rPr>
          <w:bCs/>
          <w:iCs/>
        </w:rPr>
        <w:t>[1]</w:t>
      </w:r>
      <w:r>
        <w:rPr>
          <w:bCs/>
          <w:iCs/>
        </w:rPr>
        <w:fldChar w:fldCharType="end"/>
      </w:r>
      <w:r>
        <w:rPr>
          <w:bCs/>
          <w:iCs/>
        </w:rPr>
        <w:t xml:space="preserve">). These include </w:t>
      </w:r>
      <w:r w:rsidRPr="00557BFB">
        <w:rPr>
          <w:bCs/>
          <w:iCs/>
        </w:rPr>
        <w:t>MPDCCH to PUSCH</w:t>
      </w:r>
      <w:r>
        <w:rPr>
          <w:bCs/>
          <w:iCs/>
        </w:rPr>
        <w:t xml:space="preserve">, </w:t>
      </w:r>
      <w:r w:rsidRPr="00557BFB">
        <w:rPr>
          <w:bCs/>
          <w:iCs/>
        </w:rPr>
        <w:t>RAR grant to PUSCH</w:t>
      </w:r>
      <w:r>
        <w:rPr>
          <w:bCs/>
          <w:iCs/>
        </w:rPr>
        <w:t>, P</w:t>
      </w:r>
      <w:r w:rsidRPr="00557BFB">
        <w:rPr>
          <w:bCs/>
          <w:iCs/>
        </w:rPr>
        <w:t>DCCH order to PRACH</w:t>
      </w:r>
      <w:r>
        <w:rPr>
          <w:bCs/>
          <w:iCs/>
        </w:rPr>
        <w:t xml:space="preserve">, </w:t>
      </w:r>
      <w:r w:rsidRPr="00557BFB">
        <w:rPr>
          <w:bCs/>
          <w:iCs/>
        </w:rPr>
        <w:t>MPDCCH to scheduled uplink SPS</w:t>
      </w:r>
      <w:r>
        <w:rPr>
          <w:bCs/>
          <w:iCs/>
        </w:rPr>
        <w:t xml:space="preserve">, </w:t>
      </w:r>
      <w:r w:rsidRPr="00557BFB">
        <w:rPr>
          <w:bCs/>
          <w:iCs/>
        </w:rPr>
        <w:t>PDSCH to HARQ-ACK on PUCCH</w:t>
      </w:r>
      <w:r>
        <w:rPr>
          <w:bCs/>
          <w:iCs/>
        </w:rPr>
        <w:t xml:space="preserve">, </w:t>
      </w:r>
      <w:r w:rsidRPr="00557BFB">
        <w:rPr>
          <w:bCs/>
          <w:iCs/>
        </w:rPr>
        <w:t>CSI reference resource timing</w:t>
      </w:r>
      <w:r>
        <w:rPr>
          <w:bCs/>
          <w:iCs/>
        </w:rPr>
        <w:t xml:space="preserve">, </w:t>
      </w:r>
      <w:r w:rsidRPr="00557BFB">
        <w:rPr>
          <w:bCs/>
          <w:iCs/>
        </w:rPr>
        <w:t>MPDCCH to aperiodic SR</w:t>
      </w:r>
      <w:r>
        <w:rPr>
          <w:bCs/>
          <w:iCs/>
        </w:rPr>
        <w:t>S, t</w:t>
      </w:r>
      <w:r w:rsidRPr="00557BFB">
        <w:rPr>
          <w:bCs/>
          <w:iCs/>
        </w:rPr>
        <w:t>iming advance command activation</w:t>
      </w:r>
      <w:r>
        <w:rPr>
          <w:bCs/>
          <w:iCs/>
        </w:rPr>
        <w:t xml:space="preserve">. In our view, the timing relationship for these aspects need to be enhanced. Furthermore, we think like NR NTN,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(or at least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could be introduced to enhance the timing relationships for these aspects. Hence, we have the following proposal. </w:t>
      </w:r>
    </w:p>
    <w:p w14:paraId="0EAAA7EC" w14:textId="77777777" w:rsidR="003A730A" w:rsidRDefault="003A730A" w:rsidP="008F05B6">
      <w:pPr>
        <w:jc w:val="both"/>
        <w:rPr>
          <w:bCs/>
          <w:iCs/>
        </w:rPr>
      </w:pPr>
    </w:p>
    <w:p w14:paraId="65038F60" w14:textId="131F12E1" w:rsidR="00FE247B" w:rsidRPr="00FE247B" w:rsidRDefault="00FE247B" w:rsidP="00FE247B">
      <w:pPr>
        <w:jc w:val="both"/>
        <w:rPr>
          <w:i/>
        </w:rPr>
      </w:pPr>
      <w:r w:rsidRPr="00756873">
        <w:rPr>
          <w:b/>
          <w:i/>
          <w:u w:val="single"/>
        </w:rPr>
        <w:t xml:space="preserve">Proposal </w:t>
      </w:r>
      <w:r>
        <w:rPr>
          <w:b/>
          <w:i/>
          <w:u w:val="single"/>
        </w:rPr>
        <w:t>3</w:t>
      </w:r>
      <w:r w:rsidRPr="00756873">
        <w:rPr>
          <w:b/>
          <w:i/>
          <w:u w:val="single"/>
        </w:rPr>
        <w:t>:</w:t>
      </w:r>
      <w:r>
        <w:rPr>
          <w:bCs/>
          <w:iCs/>
        </w:rPr>
        <w:t xml:space="preserve"> </w:t>
      </w:r>
      <w:r w:rsidRPr="00FE247B">
        <w:rPr>
          <w:i/>
        </w:rPr>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FE247B">
        <w:rPr>
          <w:i/>
        </w:rPr>
        <w:t xml:space="preserve"> to enhance the following timing relationships for eMTC</w:t>
      </w:r>
      <w:r w:rsidR="00357091">
        <w:rPr>
          <w:i/>
        </w:rPr>
        <w:t xml:space="preserve"> over NTN</w:t>
      </w:r>
      <w:r w:rsidRPr="00FE247B">
        <w:rPr>
          <w:i/>
        </w:rPr>
        <w:t>:</w:t>
      </w:r>
    </w:p>
    <w:p w14:paraId="05CC1D00" w14:textId="3316A4B3"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MPDCCH to PUSCH</w:t>
      </w:r>
    </w:p>
    <w:p w14:paraId="40CC5266" w14:textId="06B93D93"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 xml:space="preserve">RAR grant to PUSCH </w:t>
      </w:r>
    </w:p>
    <w:p w14:paraId="3EC62373" w14:textId="77777777"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MPDCCH to scheduled uplink SPS</w:t>
      </w:r>
    </w:p>
    <w:p w14:paraId="3A4AC055" w14:textId="77777777"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PDSCH to HARQ-ACK on PUCCH</w:t>
      </w:r>
    </w:p>
    <w:p w14:paraId="7B551008" w14:textId="77777777"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CSI reference resource timing</w:t>
      </w:r>
    </w:p>
    <w:p w14:paraId="1E3EBEE0" w14:textId="77777777"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MPDCCH to aperiodic SRS</w:t>
      </w:r>
    </w:p>
    <w:p w14:paraId="50B8F9E1" w14:textId="33996183" w:rsidR="00FE247B" w:rsidRPr="00FE247B" w:rsidRDefault="00FE247B" w:rsidP="00FE247B">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timing advance command activation</w:t>
      </w:r>
    </w:p>
    <w:p w14:paraId="10A9BD13" w14:textId="2DCC7D11" w:rsidR="003A730A" w:rsidRDefault="003A730A" w:rsidP="008F05B6">
      <w:pPr>
        <w:jc w:val="both"/>
        <w:rPr>
          <w:bCs/>
          <w:iCs/>
        </w:rPr>
      </w:pPr>
    </w:p>
    <w:p w14:paraId="6930832B" w14:textId="5DD7FB17" w:rsidR="00557BFB" w:rsidRPr="00557BFB" w:rsidRDefault="00557BFB" w:rsidP="00557BFB">
      <w:pPr>
        <w:jc w:val="both"/>
      </w:pPr>
      <w:r>
        <w:rPr>
          <w:bCs/>
          <w:iCs/>
        </w:rPr>
        <w:t xml:space="preserve">In the IoT NTN study item phase, a list of aspects related to timing relationship enhancements for NB-IoT was identified (e.g., Section 6 of </w:t>
      </w:r>
      <w:r>
        <w:rPr>
          <w:bCs/>
          <w:iCs/>
        </w:rPr>
        <w:fldChar w:fldCharType="begin"/>
      </w:r>
      <w:r>
        <w:rPr>
          <w:bCs/>
          <w:iCs/>
        </w:rPr>
        <w:instrText xml:space="preserve"> REF _Ref78382245 \r \h </w:instrText>
      </w:r>
      <w:r>
        <w:rPr>
          <w:bCs/>
          <w:iCs/>
        </w:rPr>
      </w:r>
      <w:r>
        <w:rPr>
          <w:bCs/>
          <w:iCs/>
        </w:rPr>
        <w:fldChar w:fldCharType="separate"/>
      </w:r>
      <w:r>
        <w:rPr>
          <w:bCs/>
          <w:iCs/>
        </w:rPr>
        <w:t>[1]</w:t>
      </w:r>
      <w:r>
        <w:rPr>
          <w:bCs/>
          <w:iCs/>
        </w:rPr>
        <w:fldChar w:fldCharType="end"/>
      </w:r>
      <w:r>
        <w:rPr>
          <w:bCs/>
          <w:iCs/>
        </w:rPr>
        <w:t xml:space="preserve">). These include </w:t>
      </w:r>
      <w:r w:rsidRPr="00047CB2">
        <w:t>NPDCCH to NPUSCH format 1</w:t>
      </w:r>
      <w:r>
        <w:t xml:space="preserve">, </w:t>
      </w:r>
      <w:r w:rsidRPr="00047CB2">
        <w:t>RAR grant to NPUSCH format 1</w:t>
      </w:r>
      <w:r>
        <w:t xml:space="preserve">, </w:t>
      </w:r>
      <w:r w:rsidRPr="00047CB2">
        <w:t>NPDSCH to HARQ-ACK on NPUSCH format 2</w:t>
      </w:r>
      <w:r>
        <w:t xml:space="preserve">, </w:t>
      </w:r>
      <w:r w:rsidRPr="00047CB2">
        <w:t>NPDCCH order to NPRACH</w:t>
      </w:r>
      <w:r>
        <w:t>, and t</w:t>
      </w:r>
      <w:r w:rsidRPr="00047CB2">
        <w:t>iming advance command activation</w:t>
      </w:r>
      <w:r>
        <w:t xml:space="preserve">. </w:t>
      </w:r>
      <w:r>
        <w:rPr>
          <w:bCs/>
          <w:iCs/>
        </w:rPr>
        <w:t xml:space="preserve">In our view, the timing relationship for these aspects need to be enhanced. Furthermore, we think like NR NTN,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(or at least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could be introduced to enhance the timing relationships for these aspects. Hence, we have the following proposal. </w:t>
      </w:r>
    </w:p>
    <w:p w14:paraId="18E6CC18" w14:textId="77777777" w:rsidR="00557BFB" w:rsidRDefault="00557BFB" w:rsidP="008F05B6">
      <w:pPr>
        <w:jc w:val="both"/>
        <w:rPr>
          <w:bCs/>
          <w:iCs/>
        </w:rPr>
      </w:pPr>
    </w:p>
    <w:p w14:paraId="5D863136" w14:textId="3BA24314" w:rsidR="00357091" w:rsidRPr="00FE247B" w:rsidRDefault="00357091" w:rsidP="00357091">
      <w:pPr>
        <w:jc w:val="both"/>
        <w:rPr>
          <w:i/>
        </w:rPr>
      </w:pPr>
      <w:r w:rsidRPr="00756873">
        <w:rPr>
          <w:b/>
          <w:i/>
          <w:u w:val="single"/>
        </w:rPr>
        <w:t xml:space="preserve">Proposal </w:t>
      </w:r>
      <w:r>
        <w:rPr>
          <w:b/>
          <w:i/>
          <w:u w:val="single"/>
        </w:rPr>
        <w:t>4</w:t>
      </w:r>
      <w:r w:rsidRPr="00756873">
        <w:rPr>
          <w:b/>
          <w:i/>
          <w:u w:val="single"/>
        </w:rPr>
        <w:t>:</w:t>
      </w:r>
      <w:r w:rsidRPr="00756873">
        <w:rPr>
          <w:i/>
        </w:rPr>
        <w:t xml:space="preserve"> </w:t>
      </w:r>
      <w:r w:rsidRPr="00FE247B">
        <w:rPr>
          <w:i/>
        </w:rPr>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FE247B">
        <w:rPr>
          <w:i/>
        </w:rPr>
        <w:t xml:space="preserve"> to enhance the following timing relationships for </w:t>
      </w:r>
      <w:r>
        <w:rPr>
          <w:i/>
        </w:rPr>
        <w:t>NB-IoT over NTN</w:t>
      </w:r>
      <w:r w:rsidRPr="00FE247B">
        <w:rPr>
          <w:i/>
        </w:rPr>
        <w:t>:</w:t>
      </w:r>
    </w:p>
    <w:p w14:paraId="21E63741" w14:textId="6314BE13" w:rsidR="00557BFB" w:rsidRPr="00557BFB" w:rsidRDefault="00557BFB" w:rsidP="00557BFB">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NPDCCH to NPUSCH format 1 </w:t>
      </w:r>
    </w:p>
    <w:p w14:paraId="17E2844B" w14:textId="79659D19" w:rsidR="00557BFB" w:rsidRPr="00557BFB" w:rsidRDefault="00557BFB" w:rsidP="00557BFB">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RAR grant to NPUSCH format 1 </w:t>
      </w:r>
    </w:p>
    <w:p w14:paraId="67F9F641" w14:textId="4A48B4BA" w:rsidR="00557BFB" w:rsidRPr="00557BFB" w:rsidRDefault="00557BFB" w:rsidP="00557BFB">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NPDSCH to HARQ-ACK on NPUSCH format 2 </w:t>
      </w:r>
    </w:p>
    <w:p w14:paraId="7B69009D" w14:textId="624A2C18" w:rsidR="00557BFB" w:rsidRPr="00557BFB" w:rsidRDefault="00557BFB" w:rsidP="00557BFB">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NPDCCH order to NPRACH </w:t>
      </w:r>
    </w:p>
    <w:p w14:paraId="0649818C" w14:textId="5BE93688" w:rsidR="00557BFB" w:rsidRPr="00557BFB" w:rsidRDefault="00557BFB" w:rsidP="00557BFB">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t</w:t>
      </w:r>
      <w:r w:rsidRPr="00557BFB">
        <w:rPr>
          <w:rFonts w:ascii="Times New Roman" w:eastAsia="Malgun Gothic" w:hAnsi="Times New Roman"/>
          <w:i/>
          <w:sz w:val="24"/>
          <w:szCs w:val="24"/>
          <w:lang w:eastAsia="zh-CN"/>
        </w:rPr>
        <w:t>iming advance command activation</w:t>
      </w:r>
    </w:p>
    <w:p w14:paraId="009C5885" w14:textId="4FFC4729" w:rsidR="00FE247B" w:rsidRDefault="00FE247B" w:rsidP="008F05B6">
      <w:pPr>
        <w:jc w:val="both"/>
        <w:rPr>
          <w:bCs/>
          <w:iCs/>
        </w:rPr>
      </w:pPr>
    </w:p>
    <w:p w14:paraId="6228CE7F" w14:textId="2A01C4AD" w:rsidR="00280380" w:rsidRDefault="00280380" w:rsidP="008F05B6">
      <w:pPr>
        <w:jc w:val="both"/>
        <w:rPr>
          <w:bCs/>
          <w:iCs/>
        </w:rPr>
      </w:pPr>
      <w:r>
        <w:rPr>
          <w:bCs/>
          <w:iCs/>
        </w:rPr>
        <w:t xml:space="preserve">For IoT devices with HD FDD, the uplink transmission and downlink reception could </w:t>
      </w:r>
      <w:r w:rsidR="008C5CEA">
        <w:rPr>
          <w:bCs/>
          <w:iCs/>
        </w:rPr>
        <w:t>not</w:t>
      </w:r>
      <w:r>
        <w:rPr>
          <w:bCs/>
          <w:iCs/>
        </w:rPr>
        <w:t xml:space="preserve"> occur simultaneously. This restriction on the device requires the accurate network scheduling. In IoT NTN, the UE-specific TA is measured by UE itself based on its GNSS location and satellite ephemeris. This information is not autonomously known to network. Without the knowledge of UE-specific TA, accurate network scheduling to avoid uplink-downlink collision is infeasible. Hence, it is desirable for HD FDD devices to report information about UE-specific TA for scheduling to avoid uplink-downlink collision. </w:t>
      </w:r>
    </w:p>
    <w:p w14:paraId="7846694A" w14:textId="40423D49" w:rsidR="00280380" w:rsidRDefault="00280380" w:rsidP="008F05B6">
      <w:pPr>
        <w:jc w:val="both"/>
        <w:rPr>
          <w:bCs/>
          <w:iCs/>
        </w:rPr>
      </w:pPr>
    </w:p>
    <w:p w14:paraId="4835E7AB" w14:textId="79623C86" w:rsidR="00280380" w:rsidRDefault="00280380" w:rsidP="008F05B6">
      <w:pPr>
        <w:jc w:val="both"/>
        <w:rPr>
          <w:bCs/>
          <w:iCs/>
        </w:rPr>
      </w:pPr>
      <w:r w:rsidRPr="00756873">
        <w:rPr>
          <w:b/>
          <w:i/>
          <w:u w:val="single"/>
        </w:rPr>
        <w:lastRenderedPageBreak/>
        <w:t xml:space="preserve">Proposal </w:t>
      </w:r>
      <w:r>
        <w:rPr>
          <w:b/>
          <w:i/>
          <w:u w:val="single"/>
        </w:rPr>
        <w:t>5</w:t>
      </w:r>
      <w:r w:rsidRPr="00756873">
        <w:rPr>
          <w:b/>
          <w:i/>
          <w:u w:val="single"/>
        </w:rPr>
        <w:t>:</w:t>
      </w:r>
      <w:r w:rsidRPr="00756873">
        <w:rPr>
          <w:i/>
        </w:rPr>
        <w:t xml:space="preserve"> </w:t>
      </w:r>
      <w:r>
        <w:rPr>
          <w:i/>
        </w:rPr>
        <w:t xml:space="preserve">Support HD FDD UEs to report information about UE-specific TA for scheduling to avoid uplink-downlink collision. </w:t>
      </w:r>
    </w:p>
    <w:p w14:paraId="32662686" w14:textId="48B8DD96" w:rsidR="00DE52EE" w:rsidRDefault="00DE52EE" w:rsidP="00163AAA">
      <w:pPr>
        <w:jc w:val="both"/>
        <w:rPr>
          <w:i/>
        </w:rPr>
      </w:pPr>
    </w:p>
    <w:p w14:paraId="3D86292F" w14:textId="77777777" w:rsidR="002B0F2D" w:rsidRDefault="002B0F2D" w:rsidP="00163AAA">
      <w:pPr>
        <w:jc w:val="both"/>
        <w:rPr>
          <w:iCs/>
        </w:rPr>
      </w:pPr>
      <w:r>
        <w:rPr>
          <w:iCs/>
        </w:rPr>
        <w:t xml:space="preserve">Due to satellite movement, the UE-specific TA keeps changing. If UE keeps reporting UE-specific TA to network, the signaling overhead is large. Hence, it is desirable to reduce the signaling overhead. </w:t>
      </w:r>
    </w:p>
    <w:p w14:paraId="57BD1D97" w14:textId="77777777" w:rsidR="002B0F2D" w:rsidRDefault="002B0F2D" w:rsidP="00163AAA">
      <w:pPr>
        <w:jc w:val="both"/>
        <w:rPr>
          <w:iCs/>
        </w:rPr>
      </w:pPr>
    </w:p>
    <w:p w14:paraId="3C79BB9F" w14:textId="39E256C7" w:rsidR="002B0F2D" w:rsidRDefault="002B0F2D" w:rsidP="00163AAA">
      <w:pPr>
        <w:jc w:val="both"/>
        <w:rPr>
          <w:iCs/>
        </w:rPr>
      </w:pPr>
      <w:r>
        <w:rPr>
          <w:iCs/>
        </w:rPr>
        <w:t xml:space="preserve">First, the reported UE-specific TA could have large granularity to reduce the signaling payload size. Since this reported TA is for the purpose of uplink scheduling, it does not have to be very accurate. The granularity of the TA reporting could be in the unit of slots. Second, the TA reporting does not have to occur very frequently. UE needs to report UE-specific TA only if the variation of TA values is larger than a slot or a subframe. In other words, we prefer the event triggered TA reporting, where the reported TA value has coarse granularity. </w:t>
      </w:r>
    </w:p>
    <w:p w14:paraId="61FE81BD" w14:textId="7BC42D16" w:rsidR="002B0F2D" w:rsidRDefault="002B0F2D" w:rsidP="00163AAA">
      <w:pPr>
        <w:jc w:val="both"/>
        <w:rPr>
          <w:iCs/>
        </w:rPr>
      </w:pPr>
    </w:p>
    <w:p w14:paraId="3002A7BE" w14:textId="6B84BD2D" w:rsidR="002B0F2D" w:rsidRDefault="002B0F2D" w:rsidP="00163AAA">
      <w:pPr>
        <w:jc w:val="both"/>
        <w:rPr>
          <w:iCs/>
        </w:rPr>
      </w:pPr>
      <w:r w:rsidRPr="00756873">
        <w:rPr>
          <w:b/>
          <w:i/>
          <w:u w:val="single"/>
        </w:rPr>
        <w:t xml:space="preserve">Proposal </w:t>
      </w:r>
      <w:r w:rsidR="00815442">
        <w:rPr>
          <w:b/>
          <w:i/>
          <w:u w:val="single"/>
        </w:rPr>
        <w:t>6</w:t>
      </w:r>
      <w:r w:rsidRPr="00756873">
        <w:rPr>
          <w:b/>
          <w:i/>
          <w:u w:val="single"/>
        </w:rPr>
        <w:t>:</w:t>
      </w:r>
      <w:r w:rsidRPr="00756873">
        <w:rPr>
          <w:i/>
        </w:rPr>
        <w:t xml:space="preserve"> </w:t>
      </w:r>
      <w:r>
        <w:rPr>
          <w:i/>
        </w:rPr>
        <w:t xml:space="preserve">For UE-specific TA reporting for HD FDD UEs, support event triggered TA reporting, where the reported TA value has coarse granularity. </w:t>
      </w:r>
    </w:p>
    <w:p w14:paraId="3D7155B9" w14:textId="77777777" w:rsidR="002B0F2D" w:rsidRDefault="002B0F2D" w:rsidP="00163AAA">
      <w:pPr>
        <w:jc w:val="both"/>
        <w:rPr>
          <w:iCs/>
        </w:rPr>
      </w:pPr>
    </w:p>
    <w:p w14:paraId="2896E657" w14:textId="2DF29AD0" w:rsidR="00854A60" w:rsidRPr="00A6576F" w:rsidRDefault="009C5A97" w:rsidP="00FB330B">
      <w:pPr>
        <w:pStyle w:val="Heading1"/>
      </w:pPr>
      <w:r w:rsidRPr="00A6576F">
        <w:t>Conclusion</w:t>
      </w:r>
    </w:p>
    <w:p w14:paraId="1C116919" w14:textId="51EDC82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w:t>
      </w:r>
      <w:r w:rsidR="00DE52EE">
        <w:rPr>
          <w:szCs w:val="20"/>
        </w:rPr>
        <w:t xml:space="preserve">IoT </w:t>
      </w:r>
      <w:r w:rsidR="009C0798">
        <w:rPr>
          <w:szCs w:val="20"/>
        </w:rPr>
        <w:t xml:space="preserve">NTN. </w:t>
      </w:r>
      <w:r w:rsidR="009C0798">
        <w:t xml:space="preserve">Our proposals are as follows: </w:t>
      </w:r>
    </w:p>
    <w:p w14:paraId="2A24288E" w14:textId="493C34DC" w:rsidR="00815442" w:rsidRDefault="00815442" w:rsidP="009C0798">
      <w:pPr>
        <w:jc w:val="both"/>
      </w:pPr>
    </w:p>
    <w:p w14:paraId="5A410955" w14:textId="77777777" w:rsidR="00815442" w:rsidRDefault="00815442" w:rsidP="00815442">
      <w:pPr>
        <w:jc w:val="both"/>
        <w:rPr>
          <w:i/>
        </w:rPr>
      </w:pPr>
      <w:r w:rsidRPr="00756873">
        <w:rPr>
          <w:b/>
          <w:i/>
          <w:u w:val="single"/>
        </w:rPr>
        <w:t xml:space="preserve">Proposal </w:t>
      </w:r>
      <w:r>
        <w:rPr>
          <w:b/>
          <w:i/>
          <w:u w:val="single"/>
        </w:rPr>
        <w:t>1</w:t>
      </w:r>
      <w:r w:rsidRPr="00756873">
        <w:rPr>
          <w:b/>
          <w:i/>
          <w:u w:val="single"/>
        </w:rPr>
        <w:t>:</w:t>
      </w:r>
      <w:r w:rsidRPr="00756873">
        <w:rPr>
          <w:i/>
        </w:rPr>
        <w:t xml:space="preserve"> </w:t>
      </w:r>
      <w:r>
        <w:rPr>
          <w:i/>
        </w:rPr>
        <w:t xml:space="preserve">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broadcasted in system information. </w:t>
      </w:r>
    </w:p>
    <w:p w14:paraId="25C4AE92" w14:textId="0569D7EE" w:rsidR="00815442" w:rsidRDefault="00815442" w:rsidP="009C0798">
      <w:pPr>
        <w:jc w:val="both"/>
      </w:pPr>
    </w:p>
    <w:p w14:paraId="39B5EE79" w14:textId="77777777" w:rsidR="00815442" w:rsidRDefault="00815442" w:rsidP="00815442">
      <w:pPr>
        <w:jc w:val="both"/>
        <w:rPr>
          <w:i/>
        </w:rPr>
      </w:pPr>
      <w:r w:rsidRPr="00756873">
        <w:rPr>
          <w:b/>
          <w:i/>
          <w:u w:val="single"/>
        </w:rPr>
        <w:t xml:space="preserve">Proposal </w:t>
      </w:r>
      <w:r>
        <w:rPr>
          <w:b/>
          <w:i/>
          <w:u w:val="single"/>
        </w:rPr>
        <w:t>2</w:t>
      </w:r>
      <w:r w:rsidRPr="00756873">
        <w:rPr>
          <w:b/>
          <w:i/>
          <w:u w:val="single"/>
        </w:rPr>
        <w:t>:</w:t>
      </w:r>
      <w:r w:rsidRPr="00756873">
        <w:rPr>
          <w:i/>
        </w:rPr>
        <w:t xml:space="preserve"> </w:t>
      </w:r>
      <w:r w:rsidRPr="003A730A">
        <w:rPr>
          <w:i/>
        </w:rPr>
        <w:t xml:space="preserve">Updating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A730A">
        <w:rPr>
          <w:i/>
        </w:rPr>
        <w:t xml:space="preserve"> after initial access in IoT NTN is not supported</w:t>
      </w:r>
      <w:r>
        <w:rPr>
          <w:i/>
        </w:rPr>
        <w:t>.</w:t>
      </w:r>
    </w:p>
    <w:p w14:paraId="488D847A" w14:textId="77777777" w:rsidR="00815442" w:rsidRDefault="00815442" w:rsidP="009C0798">
      <w:pPr>
        <w:jc w:val="both"/>
      </w:pPr>
    </w:p>
    <w:p w14:paraId="561BC7D0" w14:textId="77777777" w:rsidR="00815442" w:rsidRPr="00FE247B" w:rsidRDefault="00815442" w:rsidP="00815442">
      <w:pPr>
        <w:jc w:val="both"/>
        <w:rPr>
          <w:i/>
        </w:rPr>
      </w:pPr>
      <w:r w:rsidRPr="00756873">
        <w:rPr>
          <w:b/>
          <w:i/>
          <w:u w:val="single"/>
        </w:rPr>
        <w:t xml:space="preserve">Proposal </w:t>
      </w:r>
      <w:r>
        <w:rPr>
          <w:b/>
          <w:i/>
          <w:u w:val="single"/>
        </w:rPr>
        <w:t>3</w:t>
      </w:r>
      <w:r w:rsidRPr="00756873">
        <w:rPr>
          <w:b/>
          <w:i/>
          <w:u w:val="single"/>
        </w:rPr>
        <w:t>:</w:t>
      </w:r>
      <w:r>
        <w:rPr>
          <w:bCs/>
          <w:iCs/>
        </w:rPr>
        <w:t xml:space="preserve"> </w:t>
      </w:r>
      <w:r w:rsidRPr="00FE247B">
        <w:rPr>
          <w:i/>
        </w:rPr>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FE247B">
        <w:rPr>
          <w:i/>
        </w:rPr>
        <w:t xml:space="preserve"> to enhance the following timing relationships for eMTC</w:t>
      </w:r>
      <w:r>
        <w:rPr>
          <w:i/>
        </w:rPr>
        <w:t xml:space="preserve"> over NTN</w:t>
      </w:r>
      <w:r w:rsidRPr="00FE247B">
        <w:rPr>
          <w:i/>
        </w:rPr>
        <w:t>:</w:t>
      </w:r>
    </w:p>
    <w:p w14:paraId="02CD58CC" w14:textId="77777777" w:rsidR="00815442" w:rsidRPr="00FE247B" w:rsidRDefault="00815442" w:rsidP="00815442">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MPDCCH to PUSCH</w:t>
      </w:r>
    </w:p>
    <w:p w14:paraId="1AD4429C" w14:textId="77777777" w:rsidR="00815442" w:rsidRPr="00FE247B" w:rsidRDefault="00815442" w:rsidP="00815442">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 xml:space="preserve">RAR grant to PUSCH </w:t>
      </w:r>
    </w:p>
    <w:p w14:paraId="5C0C0C80" w14:textId="77777777" w:rsidR="00815442" w:rsidRPr="00FE247B" w:rsidRDefault="00815442" w:rsidP="00815442">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MPDCCH to scheduled uplink SPS</w:t>
      </w:r>
    </w:p>
    <w:p w14:paraId="55487353" w14:textId="77777777" w:rsidR="00815442" w:rsidRPr="00FE247B" w:rsidRDefault="00815442" w:rsidP="00815442">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PDSCH to HARQ-ACK on PUCCH</w:t>
      </w:r>
    </w:p>
    <w:p w14:paraId="577D1569" w14:textId="77777777" w:rsidR="00815442" w:rsidRPr="00FE247B" w:rsidRDefault="00815442" w:rsidP="00815442">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CSI reference resource timing</w:t>
      </w:r>
    </w:p>
    <w:p w14:paraId="74AB4A50" w14:textId="77777777" w:rsidR="00815442" w:rsidRPr="00FE247B" w:rsidRDefault="00815442" w:rsidP="00815442">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MPDCCH to aperiodic SRS</w:t>
      </w:r>
    </w:p>
    <w:p w14:paraId="26C7B29C" w14:textId="7C6BA8EB" w:rsidR="00815442" w:rsidRPr="00815442" w:rsidRDefault="00815442" w:rsidP="009C0798">
      <w:pPr>
        <w:pStyle w:val="ListParagraph"/>
        <w:numPr>
          <w:ilvl w:val="0"/>
          <w:numId w:val="39"/>
        </w:numPr>
        <w:jc w:val="both"/>
        <w:rPr>
          <w:rFonts w:ascii="Times New Roman" w:eastAsia="Malgun Gothic" w:hAnsi="Times New Roman"/>
          <w:i/>
          <w:sz w:val="24"/>
          <w:szCs w:val="24"/>
          <w:lang w:eastAsia="zh-CN"/>
        </w:rPr>
      </w:pPr>
      <w:r w:rsidRPr="00FE247B">
        <w:rPr>
          <w:rFonts w:ascii="Times New Roman" w:eastAsia="Malgun Gothic" w:hAnsi="Times New Roman"/>
          <w:i/>
          <w:sz w:val="24"/>
          <w:szCs w:val="24"/>
          <w:lang w:eastAsia="zh-CN"/>
        </w:rPr>
        <w:t>timing advance command activation</w:t>
      </w:r>
    </w:p>
    <w:p w14:paraId="7AD66FF6" w14:textId="2D78E2AB" w:rsidR="008E7823" w:rsidRDefault="008E7823" w:rsidP="009C0798">
      <w:pPr>
        <w:jc w:val="both"/>
      </w:pPr>
    </w:p>
    <w:p w14:paraId="3A7888FE" w14:textId="77777777" w:rsidR="00815442" w:rsidRPr="00FE247B" w:rsidRDefault="00815442" w:rsidP="00815442">
      <w:pPr>
        <w:jc w:val="both"/>
        <w:rPr>
          <w:i/>
        </w:rPr>
      </w:pPr>
      <w:r w:rsidRPr="00756873">
        <w:rPr>
          <w:b/>
          <w:i/>
          <w:u w:val="single"/>
        </w:rPr>
        <w:t xml:space="preserve">Proposal </w:t>
      </w:r>
      <w:r>
        <w:rPr>
          <w:b/>
          <w:i/>
          <w:u w:val="single"/>
        </w:rPr>
        <w:t>4</w:t>
      </w:r>
      <w:r w:rsidRPr="00756873">
        <w:rPr>
          <w:b/>
          <w:i/>
          <w:u w:val="single"/>
        </w:rPr>
        <w:t>:</w:t>
      </w:r>
      <w:r w:rsidRPr="00756873">
        <w:rPr>
          <w:i/>
        </w:rPr>
        <w:t xml:space="preserve"> </w:t>
      </w:r>
      <w:r w:rsidRPr="00FE247B">
        <w:rPr>
          <w:i/>
        </w:rPr>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FE247B">
        <w:rPr>
          <w:i/>
        </w:rPr>
        <w:t xml:space="preserve"> to enhance the following timing relationships for </w:t>
      </w:r>
      <w:r>
        <w:rPr>
          <w:i/>
        </w:rPr>
        <w:t>NB-IoT over NTN</w:t>
      </w:r>
      <w:r w:rsidRPr="00FE247B">
        <w:rPr>
          <w:i/>
        </w:rPr>
        <w:t>:</w:t>
      </w:r>
    </w:p>
    <w:p w14:paraId="3D2C5E1A" w14:textId="77777777" w:rsidR="00815442" w:rsidRPr="00557BFB" w:rsidRDefault="00815442" w:rsidP="00815442">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NPDCCH to NPUSCH format 1 </w:t>
      </w:r>
    </w:p>
    <w:p w14:paraId="6A22DF83" w14:textId="77777777" w:rsidR="00815442" w:rsidRPr="00557BFB" w:rsidRDefault="00815442" w:rsidP="00815442">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RAR grant to NPUSCH format 1 </w:t>
      </w:r>
    </w:p>
    <w:p w14:paraId="56E59D26" w14:textId="77777777" w:rsidR="00815442" w:rsidRPr="00557BFB" w:rsidRDefault="00815442" w:rsidP="00815442">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NPDSCH to HARQ-ACK on NPUSCH format 2 </w:t>
      </w:r>
    </w:p>
    <w:p w14:paraId="41CA9E9C" w14:textId="77777777" w:rsidR="00815442" w:rsidRPr="00557BFB" w:rsidRDefault="00815442" w:rsidP="00815442">
      <w:pPr>
        <w:pStyle w:val="ListParagraph"/>
        <w:numPr>
          <w:ilvl w:val="0"/>
          <w:numId w:val="39"/>
        </w:numPr>
        <w:jc w:val="both"/>
        <w:rPr>
          <w:rFonts w:ascii="Times New Roman" w:eastAsia="Malgun Gothic" w:hAnsi="Times New Roman"/>
          <w:i/>
          <w:sz w:val="24"/>
          <w:szCs w:val="24"/>
          <w:lang w:eastAsia="zh-CN"/>
        </w:rPr>
      </w:pPr>
      <w:r w:rsidRPr="00557BFB">
        <w:rPr>
          <w:rFonts w:ascii="Times New Roman" w:eastAsia="Malgun Gothic" w:hAnsi="Times New Roman"/>
          <w:i/>
          <w:sz w:val="24"/>
          <w:szCs w:val="24"/>
          <w:lang w:eastAsia="zh-CN"/>
        </w:rPr>
        <w:t xml:space="preserve">NPDCCH order to NPRACH </w:t>
      </w:r>
    </w:p>
    <w:p w14:paraId="15339E6A" w14:textId="77777777" w:rsidR="00815442" w:rsidRPr="00557BFB" w:rsidRDefault="00815442" w:rsidP="00815442">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t</w:t>
      </w:r>
      <w:r w:rsidRPr="00557BFB">
        <w:rPr>
          <w:rFonts w:ascii="Times New Roman" w:eastAsia="Malgun Gothic" w:hAnsi="Times New Roman"/>
          <w:i/>
          <w:sz w:val="24"/>
          <w:szCs w:val="24"/>
          <w:lang w:eastAsia="zh-CN"/>
        </w:rPr>
        <w:t>iming advance command activation</w:t>
      </w:r>
    </w:p>
    <w:p w14:paraId="119C7671" w14:textId="77777777" w:rsidR="00815442" w:rsidRDefault="00815442" w:rsidP="009C0798">
      <w:pPr>
        <w:jc w:val="both"/>
      </w:pPr>
    </w:p>
    <w:p w14:paraId="252320CA" w14:textId="77777777" w:rsidR="00815442" w:rsidRDefault="00815442" w:rsidP="00815442">
      <w:pPr>
        <w:jc w:val="both"/>
        <w:rPr>
          <w:bCs/>
          <w:iCs/>
        </w:rPr>
      </w:pPr>
      <w:r w:rsidRPr="00756873">
        <w:rPr>
          <w:b/>
          <w:i/>
          <w:u w:val="single"/>
        </w:rPr>
        <w:t xml:space="preserve">Proposal </w:t>
      </w:r>
      <w:r>
        <w:rPr>
          <w:b/>
          <w:i/>
          <w:u w:val="single"/>
        </w:rPr>
        <w:t>5</w:t>
      </w:r>
      <w:r w:rsidRPr="00756873">
        <w:rPr>
          <w:b/>
          <w:i/>
          <w:u w:val="single"/>
        </w:rPr>
        <w:t>:</w:t>
      </w:r>
      <w:r w:rsidRPr="00756873">
        <w:rPr>
          <w:i/>
        </w:rPr>
        <w:t xml:space="preserve"> </w:t>
      </w:r>
      <w:r>
        <w:rPr>
          <w:i/>
        </w:rPr>
        <w:t xml:space="preserve">Support HD FDD UEs to report information about UE-specific TA for scheduling to avoid uplink-downlink collision. </w:t>
      </w:r>
    </w:p>
    <w:p w14:paraId="13B5163F" w14:textId="77777777" w:rsidR="00815442" w:rsidRDefault="00815442" w:rsidP="009C0798">
      <w:pPr>
        <w:jc w:val="both"/>
      </w:pPr>
    </w:p>
    <w:p w14:paraId="51A393D5" w14:textId="30CC87B6" w:rsidR="00E42704" w:rsidRDefault="00815442" w:rsidP="00B42176">
      <w:pPr>
        <w:jc w:val="both"/>
        <w:rPr>
          <w:iCs/>
        </w:rPr>
      </w:pPr>
      <w:r w:rsidRPr="00756873">
        <w:rPr>
          <w:b/>
          <w:i/>
          <w:u w:val="single"/>
        </w:rPr>
        <w:t xml:space="preserve">Proposal </w:t>
      </w:r>
      <w:r>
        <w:rPr>
          <w:b/>
          <w:i/>
          <w:u w:val="single"/>
        </w:rPr>
        <w:t>6</w:t>
      </w:r>
      <w:r w:rsidRPr="00756873">
        <w:rPr>
          <w:b/>
          <w:i/>
          <w:u w:val="single"/>
        </w:rPr>
        <w:t>:</w:t>
      </w:r>
      <w:r w:rsidRPr="00756873">
        <w:rPr>
          <w:i/>
        </w:rPr>
        <w:t xml:space="preserve"> </w:t>
      </w:r>
      <w:r>
        <w:rPr>
          <w:i/>
        </w:rPr>
        <w:t>For UE-specific TA reporting for HD FDD UEs, support event triggered TA reporting, where the reported TA value has coarse granularity.</w:t>
      </w:r>
    </w:p>
    <w:p w14:paraId="1F7E7294" w14:textId="77777777" w:rsidR="00815442" w:rsidRPr="00815442" w:rsidRDefault="00815442" w:rsidP="00B42176">
      <w:pPr>
        <w:jc w:val="both"/>
        <w:rPr>
          <w:iCs/>
        </w:rPr>
      </w:pPr>
    </w:p>
    <w:p w14:paraId="2E75F001" w14:textId="77777777" w:rsidR="007E70BB" w:rsidRPr="00A6576F" w:rsidRDefault="005C63AE" w:rsidP="007E70BB">
      <w:pPr>
        <w:pStyle w:val="Heading1"/>
      </w:pPr>
      <w:r w:rsidRPr="00A6576F">
        <w:lastRenderedPageBreak/>
        <w:t>References</w:t>
      </w:r>
    </w:p>
    <w:p w14:paraId="6161D7A9" w14:textId="77777777" w:rsidR="00A96B86" w:rsidRDefault="00A96B86" w:rsidP="00A96B8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382245"/>
      <w:bookmarkStart w:id="1" w:name="_Ref46861923"/>
      <w:bookmarkStart w:id="2" w:name="_Ref30519541"/>
      <w:bookmarkStart w:id="3" w:name="_Ref30499280"/>
      <w:r>
        <w:t>3GPP TR 36.763, Study on Narrow-band Internot of Thing (NB-IoT)/Enhanced Machine Type Communication (eMTC) support for Non-terrestrial Network (NTN), v17.0.0, Jun. 2021.</w:t>
      </w:r>
      <w:bookmarkEnd w:id="0"/>
      <w:r>
        <w:t xml:space="preserve"> </w:t>
      </w:r>
    </w:p>
    <w:p w14:paraId="60BA95E7" w14:textId="65A1B0CE" w:rsidR="003A730A" w:rsidRDefault="00407950" w:rsidP="00A85E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78287450"/>
      <w:r>
        <w:t>RP-2</w:t>
      </w:r>
      <w:r w:rsidR="00A96B86">
        <w:t>11601</w:t>
      </w:r>
      <w:r>
        <w:t xml:space="preserve">, </w:t>
      </w:r>
      <w:r w:rsidR="00AF6AD3">
        <w:t>“</w:t>
      </w:r>
      <w:r w:rsidR="00815CE8">
        <w:t>WID on NB-IoT/eMTC support for NTN</w:t>
      </w:r>
      <w:r>
        <w:t>,</w:t>
      </w:r>
      <w:r w:rsidR="00AF6AD3">
        <w:t>”</w:t>
      </w:r>
      <w:r>
        <w:t xml:space="preserve"> </w:t>
      </w:r>
      <w:r w:rsidR="00A96B86">
        <w:t>Jun</w:t>
      </w:r>
      <w:r>
        <w:t>. 202</w:t>
      </w:r>
      <w:r w:rsidR="00A96B86">
        <w:t>1</w:t>
      </w:r>
      <w:r>
        <w:t>.</w:t>
      </w:r>
      <w:bookmarkEnd w:id="1"/>
      <w:bookmarkEnd w:id="4"/>
      <w:r>
        <w:t xml:space="preserve"> </w:t>
      </w:r>
      <w:bookmarkEnd w:id="2"/>
      <w:bookmarkEnd w:id="3"/>
    </w:p>
    <w:p w14:paraId="0708BC29" w14:textId="3A01847E" w:rsidR="008C5CEA" w:rsidRPr="00175F67" w:rsidRDefault="008C5CEA" w:rsidP="008C5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78022874"/>
      <w:bookmarkStart w:id="6" w:name="_Ref49784738"/>
      <w:r>
        <w:t>Chairman’s Notes, 3GPP TSG RAN1 WG1 #105-e Meeting, May 2021.</w:t>
      </w:r>
      <w:bookmarkEnd w:id="5"/>
      <w:bookmarkEnd w:id="6"/>
    </w:p>
    <w:sectPr w:rsidR="008C5CEA"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C3B90" w14:textId="77777777" w:rsidR="00963121" w:rsidRDefault="00963121">
      <w:r>
        <w:separator/>
      </w:r>
    </w:p>
  </w:endnote>
  <w:endnote w:type="continuationSeparator" w:id="0">
    <w:p w14:paraId="5642E132" w14:textId="77777777" w:rsidR="00963121" w:rsidRDefault="00963121">
      <w:r>
        <w:continuationSeparator/>
      </w:r>
    </w:p>
  </w:endnote>
  <w:endnote w:type="continuationNotice" w:id="1">
    <w:p w14:paraId="6F9F3EDA" w14:textId="77777777" w:rsidR="00963121" w:rsidRDefault="00963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D6740" w14:textId="77777777" w:rsidR="00963121" w:rsidRDefault="00963121">
      <w:r>
        <w:separator/>
      </w:r>
    </w:p>
  </w:footnote>
  <w:footnote w:type="continuationSeparator" w:id="0">
    <w:p w14:paraId="6E7EDC2A" w14:textId="77777777" w:rsidR="00963121" w:rsidRDefault="00963121">
      <w:r>
        <w:continuationSeparator/>
      </w:r>
    </w:p>
  </w:footnote>
  <w:footnote w:type="continuationNotice" w:id="1">
    <w:p w14:paraId="5BC82182" w14:textId="77777777" w:rsidR="00963121" w:rsidRDefault="009631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11F79"/>
    <w:multiLevelType w:val="hybridMultilevel"/>
    <w:tmpl w:val="47A049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70156"/>
    <w:multiLevelType w:val="hybridMultilevel"/>
    <w:tmpl w:val="E1E0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B5891"/>
    <w:multiLevelType w:val="hybridMultilevel"/>
    <w:tmpl w:val="FADEBC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C23FF"/>
    <w:multiLevelType w:val="hybridMultilevel"/>
    <w:tmpl w:val="5A62C2FC"/>
    <w:lvl w:ilvl="0" w:tplc="44586EC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5"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20"/>
  </w:num>
  <w:num w:numId="4">
    <w:abstractNumId w:val="21"/>
  </w:num>
  <w:num w:numId="5">
    <w:abstractNumId w:val="17"/>
  </w:num>
  <w:num w:numId="6">
    <w:abstractNumId w:val="23"/>
  </w:num>
  <w:num w:numId="7">
    <w:abstractNumId w:val="30"/>
  </w:num>
  <w:num w:numId="8">
    <w:abstractNumId w:val="18"/>
  </w:num>
  <w:num w:numId="9">
    <w:abstractNumId w:val="26"/>
  </w:num>
  <w:num w:numId="10">
    <w:abstractNumId w:val="0"/>
  </w:num>
  <w:num w:numId="11">
    <w:abstractNumId w:val="34"/>
  </w:num>
  <w:num w:numId="12">
    <w:abstractNumId w:val="5"/>
  </w:num>
  <w:num w:numId="13">
    <w:abstractNumId w:val="28"/>
  </w:num>
  <w:num w:numId="14">
    <w:abstractNumId w:val="22"/>
  </w:num>
  <w:num w:numId="15">
    <w:abstractNumId w:val="37"/>
  </w:num>
  <w:num w:numId="16">
    <w:abstractNumId w:val="41"/>
  </w:num>
  <w:num w:numId="17">
    <w:abstractNumId w:val="15"/>
  </w:num>
  <w:num w:numId="18">
    <w:abstractNumId w:val="33"/>
  </w:num>
  <w:num w:numId="19">
    <w:abstractNumId w:val="19"/>
  </w:num>
  <w:num w:numId="20">
    <w:abstractNumId w:val="12"/>
  </w:num>
  <w:num w:numId="21">
    <w:abstractNumId w:val="27"/>
  </w:num>
  <w:num w:numId="22">
    <w:abstractNumId w:val="6"/>
  </w:num>
  <w:num w:numId="23">
    <w:abstractNumId w:val="25"/>
  </w:num>
  <w:num w:numId="24">
    <w:abstractNumId w:val="3"/>
  </w:num>
  <w:num w:numId="25">
    <w:abstractNumId w:val="10"/>
  </w:num>
  <w:num w:numId="26">
    <w:abstractNumId w:val="38"/>
  </w:num>
  <w:num w:numId="27">
    <w:abstractNumId w:val="2"/>
  </w:num>
  <w:num w:numId="28">
    <w:abstractNumId w:val="11"/>
  </w:num>
  <w:num w:numId="29">
    <w:abstractNumId w:val="36"/>
  </w:num>
  <w:num w:numId="30">
    <w:abstractNumId w:val="4"/>
  </w:num>
  <w:num w:numId="31">
    <w:abstractNumId w:val="31"/>
  </w:num>
  <w:num w:numId="32">
    <w:abstractNumId w:val="40"/>
  </w:num>
  <w:num w:numId="33">
    <w:abstractNumId w:val="35"/>
  </w:num>
  <w:num w:numId="34">
    <w:abstractNumId w:val="29"/>
  </w:num>
  <w:num w:numId="35">
    <w:abstractNumId w:val="32"/>
  </w:num>
  <w:num w:numId="36">
    <w:abstractNumId w:val="39"/>
  </w:num>
  <w:num w:numId="37">
    <w:abstractNumId w:val="16"/>
  </w:num>
  <w:num w:numId="38">
    <w:abstractNumId w:val="13"/>
  </w:num>
  <w:num w:numId="39">
    <w:abstractNumId w:val="8"/>
  </w:num>
  <w:num w:numId="40">
    <w:abstractNumId w:val="7"/>
  </w:num>
  <w:num w:numId="41">
    <w:abstractNumId w:val="14"/>
  </w:num>
  <w:num w:numId="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A1E"/>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945"/>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2EE"/>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8F9"/>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8BE"/>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194"/>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A5D"/>
    <w:rsid w:val="00140CDB"/>
    <w:rsid w:val="00140FC4"/>
    <w:rsid w:val="00140FE3"/>
    <w:rsid w:val="001426A2"/>
    <w:rsid w:val="00143656"/>
    <w:rsid w:val="00143695"/>
    <w:rsid w:val="00143DDE"/>
    <w:rsid w:val="00144892"/>
    <w:rsid w:val="00144A2C"/>
    <w:rsid w:val="00144A81"/>
    <w:rsid w:val="00145E5A"/>
    <w:rsid w:val="00145FE2"/>
    <w:rsid w:val="001469D4"/>
    <w:rsid w:val="001478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E1B"/>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18A"/>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D2"/>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94E"/>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B06"/>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081"/>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6F72"/>
    <w:rsid w:val="0027777C"/>
    <w:rsid w:val="00277F45"/>
    <w:rsid w:val="00280380"/>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242"/>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F2D"/>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BA5"/>
    <w:rsid w:val="002F4EEB"/>
    <w:rsid w:val="002F4F23"/>
    <w:rsid w:val="002F539B"/>
    <w:rsid w:val="002F609C"/>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D9A"/>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0F94"/>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091"/>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93A"/>
    <w:rsid w:val="003A6BA7"/>
    <w:rsid w:val="003A6BAC"/>
    <w:rsid w:val="003A6CFA"/>
    <w:rsid w:val="003A71F2"/>
    <w:rsid w:val="003A723A"/>
    <w:rsid w:val="003A730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14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298"/>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659"/>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78F"/>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67F8"/>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8EE"/>
    <w:rsid w:val="004A7AD8"/>
    <w:rsid w:val="004A7E6E"/>
    <w:rsid w:val="004B014E"/>
    <w:rsid w:val="004B01DD"/>
    <w:rsid w:val="004B0618"/>
    <w:rsid w:val="004B0AB7"/>
    <w:rsid w:val="004B1720"/>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5DE0"/>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57BFB"/>
    <w:rsid w:val="00557F5F"/>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148"/>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07CE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628"/>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0EF9"/>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2FF"/>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556"/>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429"/>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873"/>
    <w:rsid w:val="007571E1"/>
    <w:rsid w:val="0075720C"/>
    <w:rsid w:val="00757334"/>
    <w:rsid w:val="00757633"/>
    <w:rsid w:val="00757746"/>
    <w:rsid w:val="0076023F"/>
    <w:rsid w:val="007604B2"/>
    <w:rsid w:val="007606B7"/>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CB2"/>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442"/>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5E0D"/>
    <w:rsid w:val="008362FC"/>
    <w:rsid w:val="00836307"/>
    <w:rsid w:val="008369F9"/>
    <w:rsid w:val="0083733B"/>
    <w:rsid w:val="008376AC"/>
    <w:rsid w:val="00837D05"/>
    <w:rsid w:val="00837EDA"/>
    <w:rsid w:val="00837F6B"/>
    <w:rsid w:val="0084044A"/>
    <w:rsid w:val="008407DD"/>
    <w:rsid w:val="00840E28"/>
    <w:rsid w:val="00841D38"/>
    <w:rsid w:val="00842225"/>
    <w:rsid w:val="00843C83"/>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5F6"/>
    <w:rsid w:val="008C4621"/>
    <w:rsid w:val="008C4958"/>
    <w:rsid w:val="008C4BAA"/>
    <w:rsid w:val="008C4C64"/>
    <w:rsid w:val="008C55AE"/>
    <w:rsid w:val="008C5CEA"/>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168"/>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121"/>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3E"/>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6DAB"/>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9FD"/>
    <w:rsid w:val="00A1106B"/>
    <w:rsid w:val="00A113F6"/>
    <w:rsid w:val="00A11AE0"/>
    <w:rsid w:val="00A12C38"/>
    <w:rsid w:val="00A12FF4"/>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042"/>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390"/>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5EEA"/>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B86"/>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AD3"/>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ABE"/>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081"/>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5C9"/>
    <w:rsid w:val="00B95D98"/>
    <w:rsid w:val="00B964AB"/>
    <w:rsid w:val="00B96A62"/>
    <w:rsid w:val="00B973B9"/>
    <w:rsid w:val="00B97945"/>
    <w:rsid w:val="00B97F52"/>
    <w:rsid w:val="00BA15AA"/>
    <w:rsid w:val="00BA1641"/>
    <w:rsid w:val="00BA1C25"/>
    <w:rsid w:val="00BA2280"/>
    <w:rsid w:val="00BA2A08"/>
    <w:rsid w:val="00BA34C0"/>
    <w:rsid w:val="00BA3A54"/>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6C3"/>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4EC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677E"/>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B4"/>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25C"/>
    <w:rsid w:val="00C944AB"/>
    <w:rsid w:val="00C953CF"/>
    <w:rsid w:val="00C95B40"/>
    <w:rsid w:val="00C964C7"/>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0659"/>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800"/>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2F2"/>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E78"/>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9CB"/>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596"/>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4A"/>
    <w:rsid w:val="00E31068"/>
    <w:rsid w:val="00E3123D"/>
    <w:rsid w:val="00E31461"/>
    <w:rsid w:val="00E31D43"/>
    <w:rsid w:val="00E31E1B"/>
    <w:rsid w:val="00E32189"/>
    <w:rsid w:val="00E321E8"/>
    <w:rsid w:val="00E32608"/>
    <w:rsid w:val="00E32950"/>
    <w:rsid w:val="00E32EB8"/>
    <w:rsid w:val="00E33156"/>
    <w:rsid w:val="00E33CDD"/>
    <w:rsid w:val="00E34188"/>
    <w:rsid w:val="00E345CD"/>
    <w:rsid w:val="00E34B6E"/>
    <w:rsid w:val="00E35432"/>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9DE"/>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41A"/>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3B32"/>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BBB"/>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752"/>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1EF8"/>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895"/>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7B"/>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D6E"/>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Char"/>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B1Char">
    <w:name w:val="B1 Char"/>
    <w:link w:val="B1"/>
    <w:locked/>
    <w:rsid w:val="00557BFB"/>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4</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2021-08-06T00:52:00Z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